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5C7" w:rsidRPr="00A04759" w:rsidRDefault="004A799D" w:rsidP="00A04759">
      <w:pPr>
        <w:jc w:val="center"/>
        <w:rPr>
          <w:b/>
          <w:sz w:val="26"/>
          <w:szCs w:val="26"/>
        </w:rPr>
      </w:pPr>
      <w:r w:rsidRPr="00A04759">
        <w:rPr>
          <w:b/>
          <w:sz w:val="26"/>
          <w:szCs w:val="26"/>
        </w:rPr>
        <w:t>UNIT PLAN ASSIGNMENT COVER PAGE</w:t>
      </w:r>
    </w:p>
    <w:tbl>
      <w:tblPr>
        <w:tblStyle w:val="TableGrid"/>
        <w:tblW w:w="10490" w:type="dxa"/>
        <w:tblInd w:w="-459" w:type="dxa"/>
        <w:tblLook w:val="04A0" w:firstRow="1" w:lastRow="0" w:firstColumn="1" w:lastColumn="0" w:noHBand="0" w:noVBand="1"/>
      </w:tblPr>
      <w:tblGrid>
        <w:gridCol w:w="10490"/>
      </w:tblGrid>
      <w:tr w:rsidR="004A799D" w:rsidTr="00A04759">
        <w:tc>
          <w:tcPr>
            <w:tcW w:w="10490" w:type="dxa"/>
          </w:tcPr>
          <w:p w:rsidR="004A799D" w:rsidRDefault="004A799D">
            <w:pPr>
              <w:rPr>
                <w:b/>
              </w:rPr>
            </w:pPr>
            <w:r w:rsidRPr="00A04759">
              <w:rPr>
                <w:b/>
              </w:rPr>
              <w:t>COURSE CODE:</w:t>
            </w:r>
          </w:p>
          <w:p w:rsidR="00A04759" w:rsidRPr="00A04759" w:rsidRDefault="00A04759">
            <w:pPr>
              <w:rPr>
                <w:b/>
              </w:rPr>
            </w:pPr>
          </w:p>
        </w:tc>
      </w:tr>
      <w:tr w:rsidR="004A799D" w:rsidTr="00A04759">
        <w:tc>
          <w:tcPr>
            <w:tcW w:w="10490" w:type="dxa"/>
          </w:tcPr>
          <w:p w:rsidR="004A799D" w:rsidRDefault="004A799D">
            <w:pPr>
              <w:rPr>
                <w:b/>
              </w:rPr>
            </w:pPr>
            <w:r w:rsidRPr="00A04759">
              <w:rPr>
                <w:b/>
              </w:rPr>
              <w:t>UNIT TITLE/ THEME:</w:t>
            </w:r>
          </w:p>
          <w:p w:rsidR="00A04759" w:rsidRDefault="00A04759">
            <w:pPr>
              <w:rPr>
                <w:b/>
              </w:rPr>
            </w:pPr>
          </w:p>
          <w:p w:rsidR="00A04759" w:rsidRPr="00A04759" w:rsidRDefault="00A04759">
            <w:pPr>
              <w:rPr>
                <w:b/>
              </w:rPr>
            </w:pPr>
          </w:p>
        </w:tc>
      </w:tr>
      <w:tr w:rsidR="004A799D" w:rsidTr="00A04759">
        <w:tc>
          <w:tcPr>
            <w:tcW w:w="10490" w:type="dxa"/>
          </w:tcPr>
          <w:p w:rsidR="004A799D" w:rsidRDefault="004A799D">
            <w:pPr>
              <w:rPr>
                <w:b/>
              </w:rPr>
            </w:pPr>
            <w:r w:rsidRPr="00A04759">
              <w:rPr>
                <w:b/>
              </w:rPr>
              <w:t>GROUP MEMBERS:</w:t>
            </w:r>
          </w:p>
          <w:p w:rsidR="00A04759" w:rsidRPr="00A04759" w:rsidRDefault="00A04759">
            <w:r w:rsidRPr="00A04759">
              <w:t>1.                                                                                             3.</w:t>
            </w:r>
          </w:p>
          <w:p w:rsidR="00A04759" w:rsidRPr="00A04759" w:rsidRDefault="00A04759"/>
          <w:p w:rsidR="00A04759" w:rsidRPr="00A04759" w:rsidRDefault="00A04759">
            <w:r w:rsidRPr="00A04759">
              <w:t>2.                                                                                             4.</w:t>
            </w:r>
          </w:p>
          <w:p w:rsidR="00A04759" w:rsidRPr="00A04759" w:rsidRDefault="00A04759">
            <w:pPr>
              <w:rPr>
                <w:b/>
              </w:rPr>
            </w:pPr>
          </w:p>
        </w:tc>
      </w:tr>
      <w:tr w:rsidR="004A799D" w:rsidTr="00A04759">
        <w:tc>
          <w:tcPr>
            <w:tcW w:w="10490" w:type="dxa"/>
          </w:tcPr>
          <w:p w:rsidR="004A799D" w:rsidRDefault="004A799D">
            <w:pPr>
              <w:rPr>
                <w:rFonts w:ascii="Times New Roman" w:hAnsi="Times New Roman" w:cs="Times New Roman"/>
                <w:i/>
                <w:sz w:val="20"/>
                <w:szCs w:val="20"/>
              </w:rPr>
            </w:pPr>
            <w:r w:rsidRPr="00A04759">
              <w:rPr>
                <w:b/>
              </w:rPr>
              <w:t>UNIT RATIONALE:</w:t>
            </w:r>
            <w:r>
              <w:t xml:space="preserve">  </w:t>
            </w:r>
            <w:r w:rsidRPr="004A799D">
              <w:rPr>
                <w:rFonts w:ascii="Times New Roman" w:hAnsi="Times New Roman" w:cs="Times New Roman"/>
                <w:i/>
                <w:sz w:val="20"/>
                <w:szCs w:val="20"/>
              </w:rPr>
              <w:t>How does this unit fit into the overall course?  Why is this unit important for these students?</w:t>
            </w:r>
          </w:p>
          <w:p w:rsidR="00A04759" w:rsidRDefault="00A04759">
            <w:pPr>
              <w:rPr>
                <w:rFonts w:ascii="Times New Roman" w:hAnsi="Times New Roman" w:cs="Times New Roman"/>
                <w:i/>
                <w:sz w:val="20"/>
                <w:szCs w:val="20"/>
              </w:rPr>
            </w:pPr>
          </w:p>
          <w:p w:rsidR="00A04759" w:rsidRDefault="00A04759">
            <w:pPr>
              <w:rPr>
                <w:rFonts w:ascii="Times New Roman" w:hAnsi="Times New Roman" w:cs="Times New Roman"/>
                <w:i/>
                <w:sz w:val="20"/>
                <w:szCs w:val="20"/>
              </w:rPr>
            </w:pPr>
          </w:p>
          <w:p w:rsidR="00A04759" w:rsidRDefault="00A04759">
            <w:pPr>
              <w:rPr>
                <w:rFonts w:ascii="Times New Roman" w:hAnsi="Times New Roman" w:cs="Times New Roman"/>
                <w:i/>
                <w:sz w:val="20"/>
                <w:szCs w:val="20"/>
              </w:rPr>
            </w:pPr>
          </w:p>
          <w:p w:rsidR="00A04759" w:rsidRDefault="00A04759">
            <w:pPr>
              <w:rPr>
                <w:rFonts w:ascii="Times New Roman" w:hAnsi="Times New Roman" w:cs="Times New Roman"/>
                <w:i/>
                <w:sz w:val="20"/>
                <w:szCs w:val="20"/>
              </w:rPr>
            </w:pPr>
          </w:p>
          <w:p w:rsidR="00A04759" w:rsidRDefault="00A04759"/>
        </w:tc>
      </w:tr>
      <w:tr w:rsidR="004A799D" w:rsidTr="00A04759">
        <w:tc>
          <w:tcPr>
            <w:tcW w:w="10490" w:type="dxa"/>
          </w:tcPr>
          <w:p w:rsidR="006A458D" w:rsidRDefault="004A799D">
            <w:pPr>
              <w:rPr>
                <w:rFonts w:ascii="Times New Roman" w:hAnsi="Times New Roman" w:cs="Times New Roman"/>
                <w:i/>
                <w:sz w:val="20"/>
                <w:szCs w:val="20"/>
              </w:rPr>
            </w:pPr>
            <w:r w:rsidRPr="00A04759">
              <w:rPr>
                <w:b/>
              </w:rPr>
              <w:t>UNIT CULMINATING ACTIVITY</w:t>
            </w:r>
            <w:r>
              <w:t xml:space="preserve">:  </w:t>
            </w:r>
            <w:r w:rsidR="006A458D">
              <w:t xml:space="preserve">                                    </w:t>
            </w:r>
            <w:r w:rsidR="006A458D" w:rsidRPr="004A799D">
              <w:rPr>
                <w:rFonts w:ascii="Times New Roman" w:hAnsi="Times New Roman" w:cs="Times New Roman"/>
                <w:i/>
                <w:sz w:val="20"/>
                <w:szCs w:val="20"/>
              </w:rPr>
              <w:t>E.g. Essay, group skit, oral presentation, etc.</w:t>
            </w:r>
          </w:p>
          <w:p w:rsidR="004A799D" w:rsidRDefault="004A799D">
            <w:r w:rsidRPr="004A799D">
              <w:rPr>
                <w:rFonts w:ascii="Times New Roman" w:hAnsi="Times New Roman" w:cs="Times New Roman"/>
                <w:i/>
                <w:sz w:val="20"/>
                <w:szCs w:val="20"/>
              </w:rPr>
              <w:t>What is the Culminating Activity?  What is the purpose of the Culminating Activity?  Why was it the best way to demonstrate the attainment of the Enduring Understandings, knowledge and skills of the unit?</w:t>
            </w:r>
            <w:r>
              <w:t xml:space="preserve">  </w:t>
            </w:r>
            <w:r w:rsidR="006A458D">
              <w:rPr>
                <w:rFonts w:ascii="Times New Roman" w:hAnsi="Times New Roman" w:cs="Times New Roman"/>
                <w:i/>
                <w:sz w:val="20"/>
                <w:szCs w:val="20"/>
              </w:rPr>
              <w:t xml:space="preserve">It should demonstrate a deep understanding of the material and be an activity that can be repeated in the course in order to assess student growth.  </w:t>
            </w:r>
          </w:p>
          <w:p w:rsidR="004A799D" w:rsidRDefault="004A799D"/>
          <w:p w:rsidR="00A04759" w:rsidRDefault="00A04759"/>
          <w:p w:rsidR="00A04759" w:rsidRDefault="00A04759"/>
          <w:p w:rsidR="00A04759" w:rsidRDefault="00A04759"/>
          <w:p w:rsidR="004A799D" w:rsidRDefault="004A799D"/>
        </w:tc>
      </w:tr>
      <w:tr w:rsidR="004A799D" w:rsidTr="00A04759">
        <w:tc>
          <w:tcPr>
            <w:tcW w:w="10490" w:type="dxa"/>
          </w:tcPr>
          <w:p w:rsidR="00A04759" w:rsidRDefault="004A799D">
            <w:pPr>
              <w:rPr>
                <w:rFonts w:ascii="Times New Roman" w:hAnsi="Times New Roman" w:cs="Times New Roman"/>
                <w:i/>
                <w:sz w:val="20"/>
                <w:szCs w:val="20"/>
              </w:rPr>
            </w:pPr>
            <w:r w:rsidRPr="00A04759">
              <w:rPr>
                <w:b/>
              </w:rPr>
              <w:t>UNIT CULMINATING ACTIVITY ASSESSMENT TOOL:</w:t>
            </w:r>
            <w:r>
              <w:t xml:space="preserve">  </w:t>
            </w:r>
            <w:r w:rsidR="006A458D">
              <w:rPr>
                <w:rFonts w:ascii="Times New Roman" w:hAnsi="Times New Roman" w:cs="Times New Roman"/>
                <w:i/>
                <w:sz w:val="20"/>
                <w:szCs w:val="20"/>
              </w:rPr>
              <w:t xml:space="preserve">If there is a group performance, there must be a provision for individual accountability and assessment.  The assessment tool should also be precise.  (E.g. Avoid “limited “or “some” etc.) </w:t>
            </w:r>
          </w:p>
          <w:p w:rsidR="00A04759" w:rsidRDefault="00A04759">
            <w:pPr>
              <w:rPr>
                <w:rFonts w:ascii="Times New Roman" w:hAnsi="Times New Roman" w:cs="Times New Roman"/>
                <w:i/>
                <w:sz w:val="20"/>
                <w:szCs w:val="20"/>
              </w:rPr>
            </w:pPr>
          </w:p>
          <w:p w:rsidR="006A458D" w:rsidRDefault="006A458D">
            <w:pPr>
              <w:rPr>
                <w:rFonts w:ascii="Times New Roman" w:hAnsi="Times New Roman" w:cs="Times New Roman"/>
                <w:i/>
                <w:sz w:val="20"/>
                <w:szCs w:val="20"/>
              </w:rPr>
            </w:pPr>
            <w:bookmarkStart w:id="0" w:name="_GoBack"/>
            <w:bookmarkEnd w:id="0"/>
          </w:p>
          <w:p w:rsidR="00A04759" w:rsidRDefault="00A04759">
            <w:pPr>
              <w:rPr>
                <w:rFonts w:ascii="Times New Roman" w:hAnsi="Times New Roman" w:cs="Times New Roman"/>
                <w:i/>
                <w:sz w:val="20"/>
                <w:szCs w:val="20"/>
              </w:rPr>
            </w:pPr>
          </w:p>
          <w:p w:rsidR="00A04759" w:rsidRDefault="00A04759"/>
        </w:tc>
      </w:tr>
      <w:tr w:rsidR="004A799D" w:rsidTr="00A04759">
        <w:trPr>
          <w:trHeight w:val="5566"/>
        </w:trPr>
        <w:tc>
          <w:tcPr>
            <w:tcW w:w="10490" w:type="dxa"/>
          </w:tcPr>
          <w:p w:rsidR="004A799D" w:rsidRPr="00A04759" w:rsidRDefault="004A799D">
            <w:pPr>
              <w:rPr>
                <w:b/>
              </w:rPr>
            </w:pPr>
            <w:r w:rsidRPr="00A04759">
              <w:rPr>
                <w:b/>
              </w:rPr>
              <w:t>TABLE OF CONTENTS:</w:t>
            </w:r>
          </w:p>
          <w:p w:rsidR="004A799D" w:rsidRDefault="004A799D"/>
          <w:p w:rsidR="004A799D" w:rsidRDefault="004A799D">
            <w:r>
              <w:t>Unit Calendar</w:t>
            </w:r>
          </w:p>
          <w:p w:rsidR="004A799D" w:rsidRDefault="004A799D">
            <w:r>
              <w:t>Lesson 1:  Introduction of the Theme – Jig Saw Activity</w:t>
            </w:r>
          </w:p>
          <w:p w:rsidR="004A799D" w:rsidRDefault="004A799D">
            <w:r>
              <w:t>Lesson 2:  Mind Map &amp; Media Critique</w:t>
            </w:r>
          </w:p>
          <w:p w:rsidR="004A799D" w:rsidRDefault="004A799D">
            <w:r>
              <w:t>Lesson 3:  Read Aloud &amp; KWL Chart</w:t>
            </w:r>
          </w:p>
          <w:p w:rsidR="00A04759" w:rsidRPr="00A04759" w:rsidRDefault="00A04759">
            <w:pPr>
              <w:rPr>
                <w:i/>
              </w:rPr>
            </w:pPr>
            <w:r w:rsidRPr="00A04759">
              <w:rPr>
                <w:i/>
              </w:rPr>
              <w:t>Etc.</w:t>
            </w:r>
          </w:p>
          <w:p w:rsidR="004A799D" w:rsidRDefault="004A799D"/>
          <w:p w:rsidR="004A799D" w:rsidRDefault="004A799D">
            <w:r>
              <w:t>Appendix 1:  Jig Saw Resources</w:t>
            </w:r>
          </w:p>
          <w:p w:rsidR="004A799D" w:rsidRDefault="004A799D">
            <w:r>
              <w:t>Appendix 2:  Mind Map template</w:t>
            </w:r>
          </w:p>
          <w:p w:rsidR="004A799D" w:rsidRDefault="00A04759" w:rsidP="004A799D">
            <w:r>
              <w:t>Appendix 3</w:t>
            </w:r>
            <w:r w:rsidR="004A799D">
              <w:t>:</w:t>
            </w:r>
            <w:r>
              <w:t xml:space="preserve">  Media Clip cloze activity</w:t>
            </w:r>
          </w:p>
          <w:p w:rsidR="00A04759" w:rsidRDefault="00A04759" w:rsidP="00A04759">
            <w:r>
              <w:t>Appendix 2:  KWL Chart</w:t>
            </w:r>
          </w:p>
          <w:p w:rsidR="00A04759" w:rsidRDefault="00A04759" w:rsidP="00A04759">
            <w:r>
              <w:t xml:space="preserve">. . . </w:t>
            </w:r>
          </w:p>
          <w:p w:rsidR="00A04759" w:rsidRDefault="00A04759" w:rsidP="00A04759">
            <w:r>
              <w:t xml:space="preserve">Appendix 32:  Culminating Activity Assignment Sheet </w:t>
            </w:r>
          </w:p>
          <w:p w:rsidR="00A04759" w:rsidRDefault="00A04759" w:rsidP="00A04759">
            <w:r>
              <w:t>Appendix 33:  Culminating Activity Rubric</w:t>
            </w:r>
          </w:p>
          <w:p w:rsidR="004A799D" w:rsidRPr="00A04759" w:rsidRDefault="00A04759">
            <w:pPr>
              <w:rPr>
                <w:i/>
              </w:rPr>
            </w:pPr>
            <w:r w:rsidRPr="00A04759">
              <w:rPr>
                <w:i/>
              </w:rPr>
              <w:t>Etc.</w:t>
            </w:r>
          </w:p>
          <w:p w:rsidR="004A799D" w:rsidRDefault="004A799D"/>
        </w:tc>
      </w:tr>
    </w:tbl>
    <w:p w:rsidR="004A799D" w:rsidRDefault="004A799D"/>
    <w:sectPr w:rsidR="004A799D" w:rsidSect="006A458D">
      <w:pgSz w:w="12240" w:h="15840"/>
      <w:pgMar w:top="709"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9D"/>
    <w:rsid w:val="004A799D"/>
    <w:rsid w:val="006A458D"/>
    <w:rsid w:val="00A04759"/>
    <w:rsid w:val="00F275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47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4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Education Commons</cp:lastModifiedBy>
  <cp:revision>2</cp:revision>
  <dcterms:created xsi:type="dcterms:W3CDTF">2012-01-29T14:39:00Z</dcterms:created>
  <dcterms:modified xsi:type="dcterms:W3CDTF">2012-01-29T15:16:00Z</dcterms:modified>
</cp:coreProperties>
</file>